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Демянчук Д.А. вину в совершении административного правонарушения признал в полном объеме. Инвалидом I и II группы не является. Официально не трудоустроен, постоянного дохода не имеет.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2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Демянчук Д.А.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 по 20 главе КоАП РФ. Кроме того, 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